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90EF" w14:textId="77777777" w:rsidR="007C1890" w:rsidRPr="007C1890" w:rsidRDefault="007C1890" w:rsidP="007C189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1890">
        <w:rPr>
          <w:rFonts w:ascii="Times New Roman" w:hAnsi="Times New Roman" w:cs="Times New Roman"/>
          <w:b/>
          <w:bCs/>
          <w:sz w:val="26"/>
          <w:szCs w:val="26"/>
        </w:rPr>
        <w:t>1 сентября 2026 года вступят в силу поправки к КоАП РФ об ответственности за несоблюдение отдельных запретов продажи товаров, маркировка которых обязательна</w:t>
      </w:r>
    </w:p>
    <w:p w14:paraId="4655A0DC" w14:textId="77777777" w:rsidR="007C1890" w:rsidRDefault="007C1890" w:rsidP="007C1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890">
        <w:rPr>
          <w:rFonts w:ascii="Times New Roman" w:hAnsi="Times New Roman" w:cs="Times New Roman"/>
          <w:sz w:val="26"/>
          <w:szCs w:val="26"/>
        </w:rPr>
        <w:t xml:space="preserve">Согласно изменениям, если продавец получит от информационной системы «Честный знак» предупреждение о том, что срок годности продукции истек, но все равно ее реализует, это приведет к штрафу (с индивидуального предпринимателя в размере 10 000 рублей, с юридического лица - 20 000 рублей). Игнорирование сведений о запрете продажи ниже минимальной или выше максимальной розничных цен повлечет наложение штрафов в следующих размерах: </w:t>
      </w:r>
    </w:p>
    <w:p w14:paraId="179FDDFB" w14:textId="77777777" w:rsidR="007C1890" w:rsidRDefault="007C1890" w:rsidP="007C1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890">
        <w:rPr>
          <w:rFonts w:ascii="Times New Roman" w:hAnsi="Times New Roman" w:cs="Times New Roman"/>
          <w:sz w:val="26"/>
          <w:szCs w:val="26"/>
        </w:rPr>
        <w:t xml:space="preserve">– 5 000 рублей при реализации до 100 единиц товара на одном объекте за календарный день; </w:t>
      </w:r>
    </w:p>
    <w:p w14:paraId="6C0BA245" w14:textId="77777777" w:rsidR="007C1890" w:rsidRDefault="007C1890" w:rsidP="007C1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890">
        <w:rPr>
          <w:rFonts w:ascii="Times New Roman" w:hAnsi="Times New Roman" w:cs="Times New Roman"/>
          <w:sz w:val="26"/>
          <w:szCs w:val="26"/>
        </w:rPr>
        <w:t xml:space="preserve">– 50 000 рублей – от 101 до 1000 единиц; </w:t>
      </w:r>
    </w:p>
    <w:p w14:paraId="2EC5A907" w14:textId="77777777" w:rsidR="007C1890" w:rsidRDefault="007C1890" w:rsidP="007C1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890">
        <w:rPr>
          <w:rFonts w:ascii="Times New Roman" w:hAnsi="Times New Roman" w:cs="Times New Roman"/>
          <w:sz w:val="26"/>
          <w:szCs w:val="26"/>
        </w:rPr>
        <w:t xml:space="preserve">– 500 000 рублей – более 1000 единиц. </w:t>
      </w:r>
    </w:p>
    <w:p w14:paraId="5195875B" w14:textId="155D139A" w:rsidR="005D075B" w:rsidRPr="007C1890" w:rsidRDefault="007C1890" w:rsidP="007C189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890">
        <w:rPr>
          <w:rFonts w:ascii="Times New Roman" w:hAnsi="Times New Roman" w:cs="Times New Roman"/>
          <w:sz w:val="26"/>
          <w:szCs w:val="26"/>
        </w:rPr>
        <w:t>Постановление по делу оформляется в электронном виде, без нарушителя, с направлением последнему в течение 3 дней со дня вынесения (п. 18 ст. 1 Закона). Изменения заработают 01.09.2026.</w:t>
      </w:r>
    </w:p>
    <w:sectPr w:rsidR="005D075B" w:rsidRPr="007C1890" w:rsidSect="007C1890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0B"/>
    <w:rsid w:val="00131F83"/>
    <w:rsid w:val="005D075B"/>
    <w:rsid w:val="0075110B"/>
    <w:rsid w:val="007C1890"/>
    <w:rsid w:val="00D136AF"/>
    <w:rsid w:val="00E80832"/>
    <w:rsid w:val="00EA67EF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58FF"/>
  <w15:chartTrackingRefBased/>
  <w15:docId w15:val="{B43CB4B0-9E44-4528-82F8-8F555C85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2026-07-28T07:05:00Z</dcterms:created>
  <dcterms:modified xsi:type="dcterms:W3CDTF">2026-07-28T07:08:00Z</dcterms:modified>
</cp:coreProperties>
</file>